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120" w:line="480"/>
        <w:ind w:left="120"/>
        <w:jc w:val="right"/>
      </w:pPr>
      <w:r>
        <w:rPr>
          <w:rFonts w:ascii="Times New Roman" w:hAnsi="Times New Roman"/>
          <w:b/>
          <w:i w:val="false"/>
          <w:color w:val="000000"/>
          <w:sz w:val="28"/>
        </w:rPr>
        <w:t>RA 26-123</w:t>
      </w:r>
    </w:p>
    <w:p>
      <w:pPr>
        <w:spacing w:before="0" w:after="0" w:line="480"/>
        <w:ind w:left="120"/>
        <w:jc w:val="left"/>
      </w:pPr>
    </w:p>
    <w:p>
      <w:pPr>
        <w:spacing w:before="0" w:after="0" w:line="480"/>
        <w:ind w:left="120"/>
        <w:jc w:val="center"/>
      </w:pPr>
      <w:r>
        <w:rPr>
          <w:rFonts w:ascii="Times New Roman" w:hAnsi="Times New Roman"/>
          <w:b/>
          <w:i w:val="false"/>
          <w:color w:val="000000"/>
          <w:sz w:val="28"/>
        </w:rPr>
        <w:t>ECONOMIC DEVELOPMENT AUTHORITY[261]</w:t>
      </w:r>
    </w:p>
    <w:p>
      <w:pPr>
        <w:pBdr>
          <w:top w:space="9"/>
        </w:pBdr>
        <w:spacing w:before="0" w:after="200" w:line="480"/>
        <w:ind w:left="120"/>
        <w:jc w:val="center"/>
      </w:pPr>
      <w:r>
        <w:rPr>
          <w:rFonts w:ascii="Times New Roman" w:hAnsi="Times New Roman"/>
          <w:b/>
          <w:i w:val="false"/>
          <w:color w:val="000000"/>
          <w:sz w:val="24"/>
        </w:rPr>
        <w:t>Regulatory Analysis</w:t>
      </w:r>
    </w:p>
    <w:p>
      <w:pPr>
        <w:spacing w:before="0" w:after="0" w:line="480"/>
        <w:ind w:left="120"/>
        <w:jc w:val="center"/>
      </w:pPr>
      <w:r>
        <w:rPr>
          <w:rFonts w:ascii="Times New Roman" w:hAnsi="Times New Roman"/>
          <w:b w:val="false"/>
          <w:i w:val="false"/>
          <w:color w:val="000000"/>
          <w:sz w:val="24"/>
        </w:rPr>
        <w:t>Notice of Intended Action to be published: 261—Chapters 413, 415, and 416</w:t>
      </w:r>
    </w:p>
    <w:p>
      <w:pPr>
        <w:spacing w:before="0" w:after="0" w:line="480"/>
        <w:ind w:left="120"/>
        <w:jc w:val="center"/>
      </w:pPr>
      <w:r>
        <w:rPr>
          <w:rFonts w:ascii="Times New Roman" w:hAnsi="Times New Roman"/>
          <w:b w:val="false"/>
          <w:i w:val="false"/>
          <w:color w:val="000000"/>
          <w:sz w:val="24"/>
        </w:rPr>
        <w:t>“Rescission of State Historic Preservation Chapters”</w:t>
      </w:r>
    </w:p>
    <w:p>
      <w:pPr>
        <w:spacing w:before="0" w:after="0"/>
        <w:ind w:left="120"/>
        <w:jc w:val="left"/>
      </w:pPr>
      <w:r>
        <w:rPr>
          <w:rFonts w:ascii="Times New Roman" w:hAnsi="Times New Roman"/>
          <w:b w:val="false"/>
          <w:i w:val="false"/>
          <w:color w:val="000000"/>
          <w:sz w:val="24"/>
        </w:rPr>
        <w:t> </w:t>
      </w:r>
    </w:p>
    <w:p>
      <w:pPr>
        <w:spacing w:before="0" w:after="0" w:line="480"/>
        <w:ind w:left="120"/>
        <w:jc w:val="both"/>
      </w:pPr>
      <w:r>
        <w:rPr>
          <w:rFonts w:ascii="Times New Roman" w:hAnsi="Times New Roman"/>
          <w:b w:val="false"/>
          <w:i w:val="false"/>
          <w:color w:val="000000"/>
          <w:sz w:val="24"/>
        </w:rPr>
        <w:t>Iowa Code section(s) or chapter(s) authorizing rulemaking: 15.106A</w:t>
      </w:r>
    </w:p>
    <w:p>
      <w:pPr>
        <w:spacing w:before="0" w:after="0" w:line="480"/>
        <w:ind w:left="120"/>
        <w:jc w:val="both"/>
      </w:pPr>
      <w:r>
        <w:rPr>
          <w:rFonts w:ascii="Times New Roman" w:hAnsi="Times New Roman"/>
          <w:b w:val="false"/>
          <w:i w:val="false"/>
          <w:color w:val="000000"/>
          <w:sz w:val="24"/>
        </w:rPr>
        <w:t>State or federal law(s) implemented by the rulemaking: Iowa Code section 15.121</w:t>
      </w:r>
    </w:p>
    <w:p>
      <w:pPr>
        <w:spacing w:before="0" w:after="0"/>
        <w:ind w:left="120"/>
        <w:jc w:val="left"/>
      </w:pPr>
      <w:r>
        <w:rPr>
          <w:rFonts w:ascii="Times New Roman" w:hAnsi="Times New Roman"/>
          <w:b w:val="false"/>
          <w:i w:val="false"/>
          <w:color w:val="000000"/>
          <w:sz w:val="24"/>
        </w:rPr>
        <w:t> </w:t>
      </w:r>
    </w:p>
    <w:p>
      <w:pPr>
        <w:pBdr>
          <w:top w:space="2"/>
        </w:pBdr>
        <w:spacing w:before="0" w:after="0" w:line="480"/>
        <w:ind w:left="120"/>
        <w:jc w:val="center"/>
      </w:pPr>
      <w:r>
        <w:rPr>
          <w:rFonts w:ascii="Times New Roman" w:hAnsi="Times New Roman"/>
          <w:b w:val="false"/>
          <w:i/>
          <w:color w:val="000000"/>
          <w:sz w:val="24"/>
        </w:rPr>
        <w:t>Public Hearing</w:t>
      </w:r>
    </w:p>
    <w:p>
      <w:pPr>
        <w:pBdr>
          <w:top w:space="5"/>
        </w:pBdr>
        <w:spacing w:before="0" w:after="0" w:line="480"/>
        <w:ind w:left="120"/>
        <w:jc w:val="both"/>
      </w:pPr>
      <w:r>
        <w:rPr>
          <w:rFonts w:ascii="Times New Roman" w:hAnsi="Times New Roman"/>
          <w:b w:val="false"/>
          <w:i w:val="false"/>
          <w:color w:val="000000"/>
          <w:sz w:val="24"/>
        </w:rPr>
        <w:t xml:space="preserve">    A public hearing at which persons may present their views orally or in writing will be held as follows: </w:t>
      </w:r>
    </w:p>
    <w:tbl>
      <w:tblPr>
        <w:tblW w:w="0" w:type="auto"/>
        <w:tblCellSpacing w:w="0" w:type="auto"/>
        <w:tblBorders>
          <w:top w:val="none"/>
          <w:left w:val="none"/>
          <w:bottom w:val="none"/>
          <w:right w:val="none"/>
          <w:insideH w:val="none"/>
          <w:insideV w:val="none"/>
        </w:tblBorders>
        <w:tblLayout w:type="fixed"/>
      </w:tblPr>
      <w:tblGrid>
        <w:gridCol w:w="5632"/>
        <w:gridCol w:w="5632"/>
      </w:tblGrid>
      <w:tr>
        <w:trPr>
          <w:trHeight w:val="810" w:hRule="atLeast"/>
        </w:trPr>
        <w:tc>
          <w:tcPr>
            <w:tcW w:w="5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July 16, 2026</w:t>
            </w:r>
            <w:r>
              <w:br/>
            </w:r>
            <w:r>
              <w:rPr>
                <w:rFonts w:ascii="Times New Roman" w:hAnsi="Times New Roman"/>
                <w:b w:val="false"/>
                <w:i w:val="false"/>
                <w:color w:val="000000"/>
                <w:sz w:val="14"/>
              </w:rPr>
              <w:t>9:15 to 9:30 a.m.</w:t>
            </w:r>
          </w:p>
        </w:tc>
        <w:tc>
          <w:tcPr>
            <w:tcW w:w="5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Via Microsoft Teams</w:t>
            </w:r>
            <w:r>
              <w:br/>
            </w:r>
            <w:r>
              <w:rPr>
                <w:rFonts w:ascii="Times New Roman" w:hAnsi="Times New Roman"/>
                <w:b w:val="false"/>
                <w:i w:val="false"/>
                <w:color w:val="000000"/>
                <w:sz w:val="14"/>
              </w:rPr>
              <w:t xml:space="preserve">Information about Teams participation </w:t>
            </w:r>
            <w:r>
              <w:br/>
            </w:r>
            <w:r>
              <w:rPr>
                <w:rFonts w:ascii="Times New Roman" w:hAnsi="Times New Roman"/>
                <w:b w:val="false"/>
                <w:i w:val="false"/>
                <w:color w:val="000000"/>
                <w:sz w:val="14"/>
              </w:rPr>
              <w:t>can be found at</w:t>
            </w:r>
            <w:r>
              <w:br/>
            </w:r>
            <w:hyperlink r:id="rId4">
              <w:r>
                <w:rPr>
                  <w:rStyle w:val="Hyperlink"/>
                  <w:rFonts w:ascii="Times New Roman" w:hAnsi="Times New Roman"/>
                  <w:b w:val="false"/>
                  <w:i w:val="false"/>
                  <w:color w:val="0000ff"/>
                  <w:sz w:val="14"/>
                </w:rPr>
                <w:t>opportunityiowa.gov/about/iowa-economic-development-authority/ieda-red-tape-review</w:t>
              </w:r>
            </w:hyperlink>
          </w:p>
        </w:tc>
      </w:tr>
    </w:tbl>
    <w:p>
      <w:pPr>
        <w:pBdr>
          <w:top w:space="2"/>
        </w:pBdr>
        <w:spacing w:before="0" w:after="0" w:line="480"/>
        <w:ind w:left="120"/>
        <w:jc w:val="center"/>
      </w:pPr>
      <w:r>
        <w:rPr>
          <w:rFonts w:ascii="Times New Roman" w:hAnsi="Times New Roman"/>
          <w:b w:val="false"/>
          <w:i/>
          <w:color w:val="000000"/>
          <w:sz w:val="24"/>
        </w:rPr>
        <w:t>Public Comment</w:t>
      </w:r>
    </w:p>
    <w:p>
      <w:pPr>
        <w:pBdr>
          <w:top w:space="5"/>
        </w:pBdr>
        <w:spacing w:before="0" w:after="0" w:line="480"/>
        <w:ind w:left="120"/>
        <w:jc w:val="both"/>
      </w:pPr>
      <w:r>
        <w:rPr>
          <w:rFonts w:ascii="Times New Roman" w:hAnsi="Times New Roman"/>
          <w:b w:val="false"/>
          <w:i w:val="false"/>
          <w:color w:val="000000"/>
          <w:sz w:val="24"/>
        </w:rPr>
        <w:t>    Any interested person may submit written comments concerning this Regulatory Analysis, which must be received by the Iowa Economic Development Authority (Authority) no later than 4:30 p.m. on the date of the public hearing. Comments should be directed to:</w:t>
      </w:r>
    </w:p>
    <w:tbl>
      <w:tblPr>
        <w:tblW w:w="0" w:type="auto"/>
        <w:tblCellSpacing w:w="0" w:type="auto"/>
        <w:tblBorders>
          <w:top w:val="none"/>
          <w:left w:val="none"/>
          <w:bottom w:val="none"/>
          <w:right w:val="none"/>
          <w:insideH w:val="none"/>
          <w:insideV w:val="none"/>
        </w:tblBorders>
        <w:tblLayout w:type="fixed"/>
      </w:tblPr>
      <w:tblGrid>
        <w:gridCol w:w="11264"/>
      </w:tblGrid>
      <w:tr>
        <w:trPr>
          <w:trHeight w:val="810" w:hRule="atLeast"/>
        </w:trPr>
        <w:tc>
          <w:tcPr>
            <w:tcW w:w="1126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Lisa Connell</w:t>
            </w:r>
            <w:r>
              <w:br/>
            </w:r>
            <w:r>
              <w:rPr>
                <w:rFonts w:ascii="Times New Roman" w:hAnsi="Times New Roman"/>
                <w:b w:val="false"/>
                <w:i w:val="false"/>
                <w:color w:val="000000"/>
                <w:sz w:val="14"/>
              </w:rPr>
              <w:t>Iowa Economic Development Authority</w:t>
            </w:r>
            <w:r>
              <w:br/>
            </w:r>
            <w:r>
              <w:rPr>
                <w:rFonts w:ascii="Times New Roman" w:hAnsi="Times New Roman"/>
                <w:b w:val="false"/>
                <w:i w:val="false"/>
                <w:color w:val="000000"/>
                <w:sz w:val="14"/>
              </w:rPr>
              <w:t>1963 Bell Avenue, Suite 200</w:t>
            </w:r>
            <w:r>
              <w:br/>
            </w:r>
            <w:r>
              <w:rPr>
                <w:rFonts w:ascii="Times New Roman" w:hAnsi="Times New Roman"/>
                <w:b w:val="false"/>
                <w:i w:val="false"/>
                <w:color w:val="000000"/>
                <w:sz w:val="14"/>
              </w:rPr>
              <w:t>Des Moines, Iowa 50315</w:t>
            </w:r>
            <w:r>
              <w:br/>
            </w:r>
            <w:r>
              <w:rPr>
                <w:rFonts w:ascii="Times New Roman" w:hAnsi="Times New Roman"/>
                <w:b w:val="false"/>
                <w:i w:val="false"/>
                <w:color w:val="000000"/>
                <w:sz w:val="14"/>
              </w:rPr>
              <w:t xml:space="preserve">Email: </w:t>
            </w:r>
            <w:hyperlink r:id="rId5">
              <w:r>
                <w:rPr>
                  <w:rStyle w:val="Hyperlink"/>
                  <w:rFonts w:ascii="Times New Roman" w:hAnsi="Times New Roman"/>
                  <w:b w:val="false"/>
                  <w:i w:val="false"/>
                  <w:color w:val="0000ff"/>
                  <w:sz w:val="14"/>
                </w:rPr>
                <w:t>lisa.connell@iowaeda.com</w:t>
              </w:r>
            </w:hyperlink>
          </w:p>
        </w:tc>
      </w:tr>
    </w:tbl>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Pursuant to Executive Order 10, the Authority proposes to rescind Chapters 413, 415, and 416. Chapter 413 describes the policies and procedures applicable to the Preservation Partnership Program, which has been discontinued. Chapter 415 describes the policies and procedures applicable to the Technical Assistance Program. Relevant content relating to technical assistance is proposed to be incorporated into new 261—Chapter 410 as part of a concurrent rulemaking (</w:t>
      </w:r>
      <w:r>
        <w:rPr>
          <w:rFonts w:ascii="Times New Roman" w:hAnsi="Times New Roman"/>
          <w:b/>
          <w:i w:val="false"/>
          <w:color w:val="000000"/>
          <w:sz w:val="24"/>
        </w:rPr>
        <w:t>RA 26-121</w:t>
      </w:r>
      <w:r>
        <w:rPr>
          <w:rFonts w:ascii="Times New Roman" w:hAnsi="Times New Roman"/>
          <w:b w:val="false"/>
          <w:i w:val="false"/>
          <w:color w:val="000000"/>
          <w:sz w:val="24"/>
        </w:rPr>
        <w:t>, IAB 6/24/26). Chapter 416 describes the policies and procedures of the State Register of Historic Places. Relevant content relating to the State Register of Historic Places is proposed to be incorporated into 261—Chapter 412 as part of a concurrent rulemaking (</w:t>
      </w:r>
      <w:r>
        <w:rPr>
          <w:rFonts w:ascii="Times New Roman" w:hAnsi="Times New Roman"/>
          <w:b/>
          <w:i w:val="false"/>
          <w:color w:val="000000"/>
          <w:sz w:val="24"/>
        </w:rPr>
        <w:t>RA 26-122</w:t>
      </w:r>
      <w:r>
        <w:rPr>
          <w:rFonts w:ascii="Times New Roman" w:hAnsi="Times New Roman"/>
          <w:b w:val="false"/>
          <w:i w:val="false"/>
          <w:color w:val="000000"/>
          <w:sz w:val="24"/>
        </w:rPr>
        <w:t>, IAB 6/24/26).</w:t>
      </w:r>
    </w:p>
    <w:p>
      <w:pPr>
        <w:pBdr>
          <w:top w:space="2"/>
        </w:pBdr>
        <w:spacing w:before="0" w:after="0" w:line="480"/>
        <w:ind w:left="120"/>
        <w:jc w:val="center"/>
      </w:pPr>
      <w:r>
        <w:rPr>
          <w:rFonts w:ascii="Times New Roman" w:hAnsi="Times New Roman"/>
          <w:b w:val="false"/>
          <w:i/>
          <w:color w:val="000000"/>
          <w:sz w:val="24"/>
        </w:rPr>
        <w:t>Analysis of Impact</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r>
        <w:rPr>
          <w:rFonts w:ascii="Times New Roman" w:hAnsi="Times New Roman"/>
          <w:b w:val="false"/>
          <w:i w:val="false"/>
          <w:color w:val="000000"/>
          <w:sz w:val="24"/>
        </w:rPr>
        <w:t>    1.   </w:t>
      </w:r>
      <w:r>
        <w:rPr>
          <w:rFonts w:ascii="Times New Roman" w:hAnsi="Times New Roman"/>
          <w:b/>
          <w:i w:val="false"/>
          <w:color w:val="000000"/>
          <w:sz w:val="24"/>
        </w:rPr>
        <w:t>Persons affected by the proposed rulemaking:</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Classes of persons that will bear the costs of the proposed rulemaking:</w:t>
      </w:r>
    </w:p>
    <w:p>
      <w:pPr>
        <w:spacing w:before="0" w:after="0" w:line="480"/>
        <w:ind w:left="120"/>
        <w:jc w:val="both"/>
      </w:pPr>
      <w:r>
        <w:rPr>
          <w:rFonts w:ascii="Times New Roman" w:hAnsi="Times New Roman"/>
          <w:b w:val="false"/>
          <w:i w:val="false"/>
          <w:color w:val="000000"/>
          <w:sz w:val="24"/>
        </w:rPr>
        <w:t>The rescission of Chapters 413, 415, and 416 does not impose any costs.</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Classes of persons that will benefit from the proposed rulemaking:</w:t>
      </w:r>
    </w:p>
    <w:p>
      <w:pPr>
        <w:spacing w:before="0" w:after="0" w:line="480"/>
        <w:ind w:left="120"/>
        <w:jc w:val="both"/>
      </w:pPr>
      <w:r>
        <w:rPr>
          <w:rFonts w:ascii="Times New Roman" w:hAnsi="Times New Roman"/>
          <w:b w:val="false"/>
          <w:i w:val="false"/>
          <w:color w:val="000000"/>
          <w:sz w:val="24"/>
        </w:rPr>
        <w:t>Rescinding chapters for programs and activities that have been discontinued will provide clarity about the responsibilities of the Authority.</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2.   </w:t>
      </w:r>
      <w:r>
        <w:rPr>
          <w:rFonts w:ascii="Times New Roman" w:hAnsi="Times New Roman"/>
          <w:b/>
          <w:i w:val="false"/>
          <w:color w:val="000000"/>
          <w:sz w:val="24"/>
        </w:rPr>
        <w:t>Impact of the proposed rulemaking, economic or otherwise, including the nature and amount of all the different kinds of costs that would be incurred:</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Quantitative description of impact:</w:t>
      </w:r>
    </w:p>
    <w:p>
      <w:pPr>
        <w:spacing w:before="0" w:after="0" w:line="480"/>
        <w:ind w:left="120"/>
        <w:jc w:val="both"/>
      </w:pPr>
      <w:r>
        <w:rPr>
          <w:rFonts w:ascii="Times New Roman" w:hAnsi="Times New Roman"/>
          <w:b w:val="false"/>
          <w:i w:val="false"/>
          <w:color w:val="000000"/>
          <w:sz w:val="24"/>
        </w:rPr>
        <w:t>The rescission of Chapters 413, 415, and 416 does not impose any costs.</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Qualitative description of impact:</w:t>
      </w:r>
    </w:p>
    <w:p>
      <w:pPr>
        <w:spacing w:before="0" w:after="0" w:line="480"/>
        <w:ind w:left="120"/>
        <w:jc w:val="both"/>
      </w:pPr>
      <w:r>
        <w:rPr>
          <w:rFonts w:ascii="Times New Roman" w:hAnsi="Times New Roman"/>
          <w:b w:val="false"/>
          <w:i w:val="false"/>
          <w:color w:val="000000"/>
          <w:sz w:val="24"/>
        </w:rPr>
        <w:t>Rescinding chapters for programs and activities that have been discontinued will provide clarity about the responsibilities of the Authority.</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3.   </w:t>
      </w:r>
      <w:r>
        <w:rPr>
          <w:rFonts w:ascii="Times New Roman" w:hAnsi="Times New Roman"/>
          <w:b/>
          <w:i w:val="false"/>
          <w:color w:val="000000"/>
          <w:sz w:val="24"/>
        </w:rPr>
        <w:t>Costs to the State:</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Implementation and enforcement costs borne by the agency or any other agency:</w:t>
      </w:r>
    </w:p>
    <w:p>
      <w:pPr>
        <w:spacing w:before="0" w:after="0" w:line="480"/>
        <w:ind w:left="120"/>
        <w:jc w:val="both"/>
      </w:pPr>
      <w:r>
        <w:rPr>
          <w:rFonts w:ascii="Times New Roman" w:hAnsi="Times New Roman"/>
          <w:b w:val="false"/>
          <w:i w:val="false"/>
          <w:color w:val="000000"/>
          <w:sz w:val="24"/>
        </w:rPr>
        <w:t>None.</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Anticipated effect on State revenues:</w:t>
      </w:r>
    </w:p>
    <w:p>
      <w:pPr>
        <w:spacing w:before="0" w:after="0" w:line="480"/>
        <w:ind w:left="120"/>
        <w:jc w:val="both"/>
      </w:pPr>
      <w:r>
        <w:rPr>
          <w:rFonts w:ascii="Times New Roman" w:hAnsi="Times New Roman"/>
          <w:b w:val="false"/>
          <w:i w:val="false"/>
          <w:color w:val="000000"/>
          <w:sz w:val="24"/>
        </w:rPr>
        <w:t>None.</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4.   </w:t>
      </w:r>
      <w:r>
        <w:rPr>
          <w:rFonts w:ascii="Times New Roman" w:hAnsi="Times New Roman"/>
          <w:b/>
          <w:i w:val="false"/>
          <w:color w:val="000000"/>
          <w:sz w:val="24"/>
        </w:rPr>
        <w:t>Comparison of the costs and benefits of the proposed rulemaking to the costs and benefits of inaction:</w:t>
      </w:r>
    </w:p>
    <w:p>
      <w:pPr>
        <w:spacing w:before="0" w:after="0" w:line="480"/>
        <w:ind w:left="120"/>
        <w:jc w:val="both"/>
      </w:pPr>
      <w:r>
        <w:rPr>
          <w:rFonts w:ascii="Times New Roman" w:hAnsi="Times New Roman"/>
          <w:b w:val="false"/>
          <w:i w:val="false"/>
          <w:color w:val="000000"/>
          <w:sz w:val="24"/>
        </w:rPr>
        <w:t>The rescission of Chapters 413, 415, and 416 does not impose any costs.</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5.   </w:t>
      </w:r>
      <w:r>
        <w:rPr>
          <w:rFonts w:ascii="Times New Roman" w:hAnsi="Times New Roman"/>
          <w:b/>
          <w:i w:val="false"/>
          <w:color w:val="000000"/>
          <w:sz w:val="24"/>
        </w:rPr>
        <w:t>Determination whether less costly methods or less intrusive methods exist for achieving the purpose of the proposed rulemaking:</w:t>
      </w:r>
    </w:p>
    <w:p>
      <w:pPr>
        <w:spacing w:before="0" w:after="0" w:line="480"/>
        <w:ind w:left="120"/>
        <w:jc w:val="both"/>
      </w:pPr>
      <w:r>
        <w:rPr>
          <w:rFonts w:ascii="Times New Roman" w:hAnsi="Times New Roman"/>
          <w:b w:val="false"/>
          <w:i w:val="false"/>
          <w:color w:val="000000"/>
          <w:sz w:val="24"/>
        </w:rPr>
        <w:t>The Authority has not identified any less costly or less intrusive methods.</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6.   </w:t>
      </w:r>
      <w:r>
        <w:rPr>
          <w:rFonts w:ascii="Times New Roman" w:hAnsi="Times New Roman"/>
          <w:b/>
          <w:i w:val="false"/>
          <w:color w:val="000000"/>
          <w:sz w:val="24"/>
        </w:rPr>
        <w:t>Alternative methods considered by the agency:</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Description of any alternative methods that were seriously considered by the agency:</w:t>
      </w:r>
    </w:p>
    <w:p>
      <w:pPr>
        <w:spacing w:before="0" w:after="0" w:line="480"/>
        <w:ind w:left="120"/>
        <w:jc w:val="both"/>
      </w:pPr>
      <w:r>
        <w:rPr>
          <w:rFonts w:ascii="Times New Roman" w:hAnsi="Times New Roman"/>
          <w:b w:val="false"/>
          <w:i w:val="false"/>
          <w:color w:val="000000"/>
          <w:sz w:val="24"/>
        </w:rPr>
        <w:t>The Authority did not consider other methods.</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Reasons why alternative methods were rejected in favor of the proposed rulemaking:</w:t>
      </w:r>
    </w:p>
    <w:p>
      <w:pPr>
        <w:spacing w:before="0" w:after="0" w:line="480"/>
        <w:ind w:left="120"/>
        <w:jc w:val="both"/>
      </w:pPr>
      <w:r>
        <w:rPr>
          <w:rFonts w:ascii="Times New Roman" w:hAnsi="Times New Roman"/>
          <w:b w:val="false"/>
          <w:i w:val="false"/>
          <w:color w:val="000000"/>
          <w:sz w:val="24"/>
        </w:rPr>
        <w:t>The Authority did not consider other methods.</w:t>
      </w:r>
    </w:p>
    <w:p>
      <w:pPr>
        <w:spacing w:before="0" w:after="0" w:line="480"/>
        <w:ind w:left="120"/>
        <w:jc w:val="left"/>
      </w:pPr>
    </w:p>
    <w:p>
      <w:pPr>
        <w:spacing w:before="0" w:after="0" w:line="480"/>
        <w:ind w:left="120"/>
        <w:jc w:val="left"/>
      </w:pPr>
    </w:p>
    <w:p>
      <w:pPr>
        <w:pBdr>
          <w:top w:space="2"/>
        </w:pBdr>
        <w:spacing w:before="0" w:after="0" w:line="480"/>
        <w:ind w:left="120"/>
        <w:jc w:val="center"/>
      </w:pPr>
      <w:r>
        <w:rPr>
          <w:rFonts w:ascii="Times New Roman" w:hAnsi="Times New Roman"/>
          <w:b w:val="false"/>
          <w:i/>
          <w:color w:val="000000"/>
          <w:sz w:val="24"/>
        </w:rPr>
        <w:t>Small Business Impact</w:t>
      </w:r>
    </w:p>
    <w:p>
      <w:pPr>
        <w:pBdr>
          <w:top w:space="5"/>
        </w:pBd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If the rulemaking will have a substantial impact on small business, include a discussion of whether it would be feasible and practicable to do any of the following to reduce the impact of the rulemaking on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less stringent compliance or reporting requirements in the rulemaking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less stringent schedules or deadlines in the rulemaking for compliance or reporting requirements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Consolidate or simplify the rulemaking’s compliance or reporting requirements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performance standards to replace design or operational standards in the rulemaking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Exempt small business from any or all requirements of the rulemaking.</w:t>
      </w:r>
    </w:p>
    <w:p>
      <w:pPr>
        <w:spacing w:before="0" w:after="0"/>
        <w:ind w:left="120"/>
        <w:jc w:val="left"/>
      </w:pPr>
      <w:r>
        <w:rPr>
          <w:rFonts w:ascii="Times New Roman" w:hAnsi="Times New Roman"/>
          <w:b w:val="false"/>
          <w:i w:val="false"/>
          <w:color w:val="000000"/>
          <w:sz w:val="24"/>
        </w:rPr>
        <w:t>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If legal and feasible, how does the rulemaking use a method discussed above to reduce the substantial impact on small business?</w:t>
      </w:r>
    </w:p>
    <w:p>
      <w:pPr>
        <w:spacing w:before="0" w:after="0" w:line="480"/>
        <w:ind w:left="120"/>
        <w:jc w:val="both"/>
      </w:pPr>
      <w:r>
        <w:rPr>
          <w:rFonts w:ascii="Times New Roman" w:hAnsi="Times New Roman"/>
          <w:b w:val="false"/>
          <w:i w:val="false"/>
          <w:color w:val="000000"/>
          <w:sz w:val="24"/>
        </w:rPr>
        <w:t>    The rescission of chapters does not have an impact on small business.</w:t>
      </w:r>
    </w:p>
    <w:p>
      <w:pPr>
        <w:pBdr>
          <w:top w:space="2"/>
        </w:pBdr>
        <w:spacing w:before="0" w:after="0" w:line="480"/>
        <w:ind w:left="120"/>
        <w:jc w:val="center"/>
      </w:pPr>
      <w:r>
        <w:rPr>
          <w:rFonts w:ascii="Times New Roman" w:hAnsi="Times New Roman"/>
          <w:b w:val="false"/>
          <w:i/>
          <w:color w:val="000000"/>
          <w:sz w:val="24"/>
        </w:rPr>
        <w:t>Text of Proposed Rulemaking</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and reserve </w:t>
      </w:r>
      <w:r>
        <w:rPr>
          <w:rFonts w:ascii="Times New Roman" w:hAnsi="Times New Roman"/>
          <w:b/>
          <w:i w:val="false"/>
          <w:color w:val="000000"/>
          <w:sz w:val="24"/>
        </w:rPr>
        <w:t>261—Chapter 413</w:t>
      </w:r>
      <w:r>
        <w:rPr>
          <w:rFonts w:ascii="Times New Roman" w:hAnsi="Times New Roman"/>
          <w:b w:val="false"/>
          <w:i w:val="false"/>
          <w:color w:val="000000"/>
          <w:sz w:val="24"/>
        </w:rPr>
        <w:t>.</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2.</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and reserve </w:t>
      </w:r>
      <w:r>
        <w:rPr>
          <w:rFonts w:ascii="Times New Roman" w:hAnsi="Times New Roman"/>
          <w:b/>
          <w:i w:val="false"/>
          <w:color w:val="000000"/>
          <w:sz w:val="24"/>
        </w:rPr>
        <w:t>261—Chapter 415</w:t>
      </w:r>
      <w:r>
        <w:rPr>
          <w:rFonts w:ascii="Times New Roman" w:hAnsi="Times New Roman"/>
          <w:b w:val="false"/>
          <w:i w:val="false"/>
          <w:color w:val="000000"/>
          <w:sz w:val="24"/>
        </w:rPr>
        <w:t>.</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3.</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and reserve </w:t>
      </w:r>
      <w:r>
        <w:rPr>
          <w:rFonts w:ascii="Times New Roman" w:hAnsi="Times New Roman"/>
          <w:b/>
          <w:i w:val="false"/>
          <w:color w:val="000000"/>
          <w:sz w:val="24"/>
        </w:rPr>
        <w:t>261—Chapter 416</w:t>
      </w:r>
      <w:r>
        <w:rPr>
          <w:rFonts w:ascii="Times New Roman" w:hAnsi="Times New Roman"/>
          <w:b w:val="false"/>
          <w:i w:val="false"/>
          <w:color w:val="000000"/>
          <w:sz w:val="24"/>
        </w:rPr>
        <w:t>.</w:t>
      </w:r>
    </w:p>
    <w:sectPr>
      <w:footerReference r:id="rId6"/>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opportunityiowa.gov/about/iowa-economic-development-authority/ieda-red-tape-review" Type="http://schemas.openxmlformats.org/officeDocument/2006/relationships/hyperlink" Id="rId4"/>
    <Relationship TargetMode="External" Target="mailto:lisa.connell@iowaeda.com" Type="http://schemas.openxmlformats.org/officeDocument/2006/relationships/hyperlink" Id="rId5"/>
    <Relationship Target="footer.xml" Type="http://schemas.openxmlformats.org/officeDocument/2006/relationships/footer" Id="rId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